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E45F2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146E1CEC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5F585290" w14:textId="6746B01B" w:rsidR="00735C16" w:rsidRPr="009E7702" w:rsidRDefault="009E7702" w:rsidP="009E7702">
      <w:pPr>
        <w:jc w:val="center"/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color w:val="18C901"/>
          <w:sz w:val="20"/>
          <w:szCs w:val="20"/>
        </w:rPr>
        <w:t>[Insert School/Trust Name and Logo]</w:t>
      </w:r>
    </w:p>
    <w:p w14:paraId="5A644D6E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54FB5D1C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4A2FE771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2ACEC5F3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598CC455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0854CE8B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38845FEC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4960A7C4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1C10EB8A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Dear    </w:t>
      </w:r>
    </w:p>
    <w:p w14:paraId="5028BEBC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</w:p>
    <w:p w14:paraId="462A1594" w14:textId="1FBCCE66" w:rsidR="00735C16" w:rsidRPr="009E7702" w:rsidRDefault="009E7702">
      <w:pPr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b/>
          <w:bCs/>
          <w:sz w:val="20"/>
          <w:szCs w:val="20"/>
        </w:rPr>
        <w:t>Subject Access Request (SAR)</w:t>
      </w:r>
      <w:r w:rsidR="00B1164C">
        <w:rPr>
          <w:rFonts w:ascii="Rockwell Nova" w:hAnsi="Rockwell Nova" w:cs="Arial"/>
          <w:b/>
          <w:bCs/>
          <w:sz w:val="20"/>
          <w:szCs w:val="20"/>
        </w:rPr>
        <w:t xml:space="preserve"> Response</w:t>
      </w:r>
    </w:p>
    <w:p w14:paraId="578A9C17" w14:textId="0562A534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6661897F" w14:textId="77777777" w:rsidR="00EE3355" w:rsidRDefault="00B1164C" w:rsidP="009E7702">
      <w:pPr>
        <w:rPr>
          <w:rFonts w:ascii="Rockwell Nova" w:hAnsi="Rockwell Nova" w:cs="Arial"/>
          <w:sz w:val="20"/>
          <w:szCs w:val="20"/>
        </w:rPr>
      </w:pPr>
      <w:r>
        <w:rPr>
          <w:rFonts w:ascii="Rockwell Nova" w:hAnsi="Rockwell Nova" w:cs="Arial"/>
          <w:sz w:val="20"/>
          <w:szCs w:val="20"/>
        </w:rPr>
        <w:t xml:space="preserve">Please find included the response to your 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SAR </w:t>
      </w:r>
      <w:r>
        <w:rPr>
          <w:rFonts w:ascii="Rockwell Nova" w:hAnsi="Rockwell Nova" w:cs="Arial"/>
          <w:sz w:val="20"/>
          <w:szCs w:val="20"/>
        </w:rPr>
        <w:t>dated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 </w:t>
      </w:r>
      <w:r w:rsidR="009E7702" w:rsidRPr="009E7702">
        <w:rPr>
          <w:rFonts w:ascii="Rockwell Nova" w:hAnsi="Rockwell Nova" w:cs="Arial"/>
          <w:color w:val="18C901"/>
          <w:sz w:val="20"/>
          <w:szCs w:val="20"/>
        </w:rPr>
        <w:t>[DATE RECEIVED]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 for </w:t>
      </w:r>
      <w:r w:rsidR="009E7702" w:rsidRPr="009E7702">
        <w:rPr>
          <w:rFonts w:ascii="Rockwell Nova" w:hAnsi="Rockwell Nova" w:cs="Arial"/>
          <w:color w:val="18C901"/>
          <w:sz w:val="20"/>
          <w:szCs w:val="20"/>
        </w:rPr>
        <w:t>[DATA SUBJECT]</w:t>
      </w:r>
      <w:r>
        <w:rPr>
          <w:rFonts w:ascii="Rockwell Nova" w:hAnsi="Rockwell Nova" w:cs="Arial"/>
          <w:sz w:val="20"/>
          <w:szCs w:val="20"/>
        </w:rPr>
        <w:t xml:space="preserve">. </w:t>
      </w:r>
      <w:r w:rsidR="008C4833">
        <w:rPr>
          <w:rFonts w:ascii="Rockwell Nova" w:hAnsi="Rockwell Nova" w:cs="Arial"/>
          <w:sz w:val="20"/>
          <w:szCs w:val="20"/>
        </w:rPr>
        <w:t>The supplementary information we are required to provide as part of the SAR process can be found in our Privacy Notice for Pupils and Parents</w:t>
      </w:r>
      <w:r w:rsidR="0071200E">
        <w:rPr>
          <w:rFonts w:ascii="Rockwell Nova" w:hAnsi="Rockwell Nova" w:cs="Arial"/>
          <w:sz w:val="20"/>
          <w:szCs w:val="20"/>
        </w:rPr>
        <w:t xml:space="preserve">, and our Data Protection Policy. These have both been included with your data. </w:t>
      </w:r>
    </w:p>
    <w:p w14:paraId="4E1FF608" w14:textId="77777777" w:rsidR="00EE3355" w:rsidRDefault="00EE3355" w:rsidP="009E7702">
      <w:pPr>
        <w:rPr>
          <w:rFonts w:ascii="Rockwell Nova" w:hAnsi="Rockwell Nova" w:cs="Arial"/>
          <w:sz w:val="20"/>
          <w:szCs w:val="20"/>
        </w:rPr>
      </w:pPr>
    </w:p>
    <w:p w14:paraId="0B29A5C4" w14:textId="4149F485" w:rsidR="009E7702" w:rsidRPr="009E7702" w:rsidRDefault="00EE3355" w:rsidP="009E7702">
      <w:pPr>
        <w:rPr>
          <w:rFonts w:ascii="Rockwell Nova" w:hAnsi="Rockwell Nova" w:cs="Arial"/>
          <w:sz w:val="20"/>
          <w:szCs w:val="20"/>
        </w:rPr>
      </w:pPr>
      <w:r>
        <w:rPr>
          <w:rFonts w:ascii="Rockwell Nova" w:hAnsi="Rockwell Nova" w:cs="Arial"/>
          <w:sz w:val="20"/>
          <w:szCs w:val="20"/>
        </w:rPr>
        <w:t>To confirm, as per your request, t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he information we </w:t>
      </w:r>
      <w:r>
        <w:rPr>
          <w:rFonts w:ascii="Rockwell Nova" w:hAnsi="Rockwell Nova" w:cs="Arial"/>
          <w:sz w:val="20"/>
          <w:szCs w:val="20"/>
        </w:rPr>
        <w:t>are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 providing </w:t>
      </w:r>
      <w:r>
        <w:rPr>
          <w:rFonts w:ascii="Rockwell Nova" w:hAnsi="Rockwell Nova" w:cs="Arial"/>
          <w:sz w:val="20"/>
          <w:szCs w:val="20"/>
        </w:rPr>
        <w:t>for this SAR includes</w:t>
      </w:r>
      <w:r w:rsidR="009E7702" w:rsidRPr="009E7702">
        <w:rPr>
          <w:rFonts w:ascii="Rockwell Nova" w:hAnsi="Rockwell Nova" w:cs="Arial"/>
          <w:sz w:val="20"/>
          <w:szCs w:val="20"/>
        </w:rPr>
        <w:t>:</w:t>
      </w:r>
      <w:r w:rsidR="009E7702" w:rsidRPr="009E7702">
        <w:rPr>
          <w:rFonts w:ascii="Rockwell Nova" w:hAnsi="Rockwell Nova" w:cs="Arial"/>
          <w:sz w:val="20"/>
          <w:szCs w:val="20"/>
        </w:rPr>
        <w:br/>
      </w:r>
    </w:p>
    <w:p w14:paraId="57C8F571" w14:textId="649B4660" w:rsidR="009E7702" w:rsidRPr="009E7702" w:rsidRDefault="009E7702" w:rsidP="009E7702">
      <w:pPr>
        <w:rPr>
          <w:rFonts w:ascii="Rockwell Nova" w:hAnsi="Rockwell Nova" w:cs="Arial"/>
          <w:color w:val="18C901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>-</w:t>
      </w:r>
      <w:r w:rsidRPr="009E7702">
        <w:rPr>
          <w:rFonts w:ascii="Rockwell Nova" w:hAnsi="Rockwell Nova" w:cs="Arial"/>
          <w:sz w:val="20"/>
          <w:szCs w:val="20"/>
        </w:rPr>
        <w:tab/>
      </w:r>
      <w:r w:rsidRPr="009E7702">
        <w:rPr>
          <w:rFonts w:ascii="Rockwell Nova" w:hAnsi="Rockwell Nova" w:cs="Arial"/>
          <w:color w:val="18C901"/>
          <w:sz w:val="20"/>
          <w:szCs w:val="20"/>
        </w:rPr>
        <w:t>[List information</w:t>
      </w:r>
      <w:r w:rsidR="00D0341B">
        <w:rPr>
          <w:rFonts w:ascii="Rockwell Nova" w:hAnsi="Rockwell Nova" w:cs="Arial"/>
          <w:color w:val="18C901"/>
          <w:sz w:val="20"/>
          <w:szCs w:val="20"/>
        </w:rPr>
        <w:t xml:space="preserve"> requested or agreed on with the data subject</w:t>
      </w:r>
      <w:r w:rsidRPr="009E7702">
        <w:rPr>
          <w:rFonts w:ascii="Rockwell Nova" w:hAnsi="Rockwell Nova" w:cs="Arial"/>
          <w:color w:val="18C901"/>
          <w:sz w:val="20"/>
          <w:szCs w:val="20"/>
        </w:rPr>
        <w:t>]</w:t>
      </w:r>
    </w:p>
    <w:p w14:paraId="537CD474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-           </w:t>
      </w:r>
    </w:p>
    <w:p w14:paraId="0B12B7D2" w14:textId="576A7025" w:rsid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br/>
      </w:r>
      <w:r>
        <w:rPr>
          <w:rFonts w:ascii="Rockwell Nova" w:hAnsi="Rockwell Nova" w:cs="Arial"/>
          <w:sz w:val="20"/>
          <w:szCs w:val="20"/>
        </w:rPr>
        <w:t xml:space="preserve">Redactions </w:t>
      </w:r>
      <w:r w:rsidR="00D0341B">
        <w:rPr>
          <w:rFonts w:ascii="Rockwell Nova" w:hAnsi="Rockwell Nova" w:cs="Arial"/>
          <w:sz w:val="20"/>
          <w:szCs w:val="20"/>
        </w:rPr>
        <w:t>have been</w:t>
      </w:r>
      <w:r>
        <w:rPr>
          <w:rFonts w:ascii="Rockwell Nova" w:hAnsi="Rockwell Nova" w:cs="Arial"/>
          <w:sz w:val="20"/>
          <w:szCs w:val="20"/>
        </w:rPr>
        <w:t xml:space="preserve"> made </w:t>
      </w:r>
      <w:r w:rsidR="00D0341B">
        <w:rPr>
          <w:rFonts w:ascii="Rockwell Nova" w:hAnsi="Rockwell Nova" w:cs="Arial"/>
          <w:sz w:val="20"/>
          <w:szCs w:val="20"/>
        </w:rPr>
        <w:t xml:space="preserve">to this data </w:t>
      </w:r>
      <w:r>
        <w:rPr>
          <w:rFonts w:ascii="Rockwell Nova" w:hAnsi="Rockwell Nova" w:cs="Arial"/>
          <w:sz w:val="20"/>
          <w:szCs w:val="20"/>
        </w:rPr>
        <w:t xml:space="preserve">based on exemptions identified during the collation process. Exemptions are explained in the following ICO guidance: </w:t>
      </w:r>
      <w:hyperlink r:id="rId10" w:history="1">
        <w:r w:rsidRPr="009E7702">
          <w:rPr>
            <w:rStyle w:val="Hyperlink"/>
            <w:rFonts w:ascii="Rockwell Nova" w:hAnsi="Rockwell Nova"/>
            <w:sz w:val="20"/>
            <w:szCs w:val="20"/>
          </w:rPr>
          <w:t>Right of access | ICO</w:t>
        </w:r>
      </w:hyperlink>
      <w:r w:rsidR="00D0341B">
        <w:rPr>
          <w:rStyle w:val="Hyperlink"/>
          <w:rFonts w:ascii="Rockwell Nova" w:hAnsi="Rockwell Nova"/>
          <w:sz w:val="20"/>
          <w:szCs w:val="20"/>
        </w:rPr>
        <w:t>.</w:t>
      </w:r>
      <w:r w:rsidR="0063194B">
        <w:rPr>
          <w:rFonts w:ascii="Rockwell Nova" w:hAnsi="Rockwell Nova" w:cs="Arial"/>
          <w:sz w:val="20"/>
          <w:szCs w:val="20"/>
        </w:rPr>
        <w:t xml:space="preserve"> </w:t>
      </w:r>
      <w:r w:rsidR="00D0341B">
        <w:rPr>
          <w:rFonts w:ascii="Rockwell Nova" w:hAnsi="Rockwell Nova" w:cs="Arial"/>
          <w:sz w:val="20"/>
          <w:szCs w:val="20"/>
        </w:rPr>
        <w:t xml:space="preserve">The exemptions identified </w:t>
      </w:r>
      <w:r w:rsidR="0063194B">
        <w:rPr>
          <w:rFonts w:ascii="Rockwell Nova" w:hAnsi="Rockwell Nova" w:cs="Arial"/>
          <w:sz w:val="20"/>
          <w:szCs w:val="20"/>
        </w:rPr>
        <w:t xml:space="preserve">and applied in this instance </w:t>
      </w:r>
      <w:r w:rsidR="00442AE9">
        <w:rPr>
          <w:rFonts w:ascii="Rockwell Nova" w:hAnsi="Rockwell Nova" w:cs="Arial"/>
          <w:sz w:val="20"/>
          <w:szCs w:val="20"/>
        </w:rPr>
        <w:t>include (but are not necessarily limited to) the</w:t>
      </w:r>
      <w:r w:rsidR="0063194B">
        <w:rPr>
          <w:rFonts w:ascii="Rockwell Nova" w:hAnsi="Rockwell Nova" w:cs="Arial"/>
          <w:sz w:val="20"/>
          <w:szCs w:val="20"/>
        </w:rPr>
        <w:t xml:space="preserve"> follow</w:t>
      </w:r>
      <w:r w:rsidR="00442AE9">
        <w:rPr>
          <w:rFonts w:ascii="Rockwell Nova" w:hAnsi="Rockwell Nova" w:cs="Arial"/>
          <w:sz w:val="20"/>
          <w:szCs w:val="20"/>
        </w:rPr>
        <w:t>ing</w:t>
      </w:r>
      <w:r w:rsidR="0063194B">
        <w:rPr>
          <w:rFonts w:ascii="Rockwell Nova" w:hAnsi="Rockwell Nova" w:cs="Arial"/>
          <w:sz w:val="20"/>
          <w:szCs w:val="20"/>
        </w:rPr>
        <w:t>:</w:t>
      </w:r>
    </w:p>
    <w:p w14:paraId="1A9A0A05" w14:textId="69958E82" w:rsidR="0063194B" w:rsidRDefault="0063194B" w:rsidP="009E7702">
      <w:pPr>
        <w:rPr>
          <w:rFonts w:ascii="Rockwell Nova" w:hAnsi="Rockwell Nova" w:cs="Arial"/>
          <w:sz w:val="20"/>
          <w:szCs w:val="20"/>
        </w:rPr>
      </w:pPr>
    </w:p>
    <w:p w14:paraId="23976657" w14:textId="3D63DD7D" w:rsidR="00745F19" w:rsidRDefault="00246BE4" w:rsidP="009E7702">
      <w:pPr>
        <w:rPr>
          <w:rFonts w:ascii="Rockwell Nova" w:hAnsi="Rockwell Nova" w:cs="Arial"/>
          <w:color w:val="18C901"/>
          <w:sz w:val="20"/>
          <w:szCs w:val="20"/>
        </w:rPr>
      </w:pPr>
      <w:r w:rsidRPr="009E7702">
        <w:rPr>
          <w:rFonts w:ascii="Rockwell Nova" w:hAnsi="Rockwell Nova" w:cs="Arial"/>
          <w:color w:val="18C901"/>
          <w:sz w:val="20"/>
          <w:szCs w:val="20"/>
        </w:rPr>
        <w:t>[</w:t>
      </w:r>
      <w:r>
        <w:rPr>
          <w:rFonts w:ascii="Rockwell Nova" w:hAnsi="Rockwell Nova" w:cs="Arial"/>
          <w:color w:val="18C901"/>
          <w:sz w:val="20"/>
          <w:szCs w:val="20"/>
        </w:rPr>
        <w:t>Delete the exemptions as applicable</w:t>
      </w:r>
      <w:r w:rsidR="00442AE9">
        <w:rPr>
          <w:rFonts w:ascii="Rockwell Nova" w:hAnsi="Rockwell Nova" w:cs="Arial"/>
          <w:color w:val="18C901"/>
          <w:sz w:val="20"/>
          <w:szCs w:val="20"/>
        </w:rPr>
        <w:t xml:space="preserve"> and amend the previous sentence if only exemptions stated are being used</w:t>
      </w:r>
      <w:r w:rsidR="00710072">
        <w:rPr>
          <w:rFonts w:ascii="Rockwell Nova" w:hAnsi="Rockwell Nova" w:cs="Arial"/>
          <w:color w:val="18C901"/>
          <w:sz w:val="20"/>
          <w:szCs w:val="20"/>
        </w:rPr>
        <w:t xml:space="preserve">. </w:t>
      </w:r>
    </w:p>
    <w:p w14:paraId="19FD7B46" w14:textId="77777777" w:rsidR="00745F19" w:rsidRDefault="00745F19" w:rsidP="009E7702">
      <w:pPr>
        <w:rPr>
          <w:rFonts w:ascii="Rockwell Nova" w:hAnsi="Rockwell Nova" w:cs="Arial"/>
          <w:color w:val="18C901"/>
          <w:sz w:val="20"/>
          <w:szCs w:val="20"/>
        </w:rPr>
      </w:pPr>
    </w:p>
    <w:p w14:paraId="0CE16EBF" w14:textId="77777777" w:rsidR="005E099D" w:rsidRDefault="00710072" w:rsidP="009E7702">
      <w:pPr>
        <w:rPr>
          <w:rFonts w:ascii="Rockwell Nova" w:hAnsi="Rockwell Nova" w:cs="Arial"/>
          <w:color w:val="18C901"/>
          <w:sz w:val="20"/>
          <w:szCs w:val="20"/>
        </w:rPr>
      </w:pPr>
      <w:r>
        <w:rPr>
          <w:rFonts w:ascii="Rockwell Nova" w:hAnsi="Rockwell Nova" w:cs="Arial"/>
          <w:color w:val="18C901"/>
          <w:sz w:val="20"/>
          <w:szCs w:val="20"/>
        </w:rPr>
        <w:t xml:space="preserve">Note – it is not always appropriate to state exactly which exemption you have relied on for your redactions. Stating this may also </w:t>
      </w:r>
      <w:r w:rsidR="001A373A">
        <w:rPr>
          <w:rFonts w:ascii="Rockwell Nova" w:hAnsi="Rockwell Nova" w:cs="Arial"/>
          <w:color w:val="18C901"/>
          <w:sz w:val="20"/>
          <w:szCs w:val="20"/>
        </w:rPr>
        <w:t xml:space="preserve">increase the risk of causing harm. </w:t>
      </w:r>
      <w:r w:rsidR="001A373A" w:rsidRPr="00745F19">
        <w:rPr>
          <w:rFonts w:ascii="Rockwell Nova" w:hAnsi="Rockwell Nova" w:cs="Arial"/>
          <w:b/>
          <w:bCs/>
          <w:color w:val="18C901"/>
          <w:sz w:val="20"/>
          <w:szCs w:val="20"/>
        </w:rPr>
        <w:t>For example, it wouldn’t ever be appropriate to state that you have applied the child abuse exemption.</w:t>
      </w:r>
      <w:r w:rsidR="001A373A">
        <w:rPr>
          <w:rFonts w:ascii="Rockwell Nova" w:hAnsi="Rockwell Nova" w:cs="Arial"/>
          <w:color w:val="18C901"/>
          <w:sz w:val="20"/>
          <w:szCs w:val="20"/>
        </w:rPr>
        <w:t xml:space="preserve"> </w:t>
      </w:r>
    </w:p>
    <w:p w14:paraId="36812FC1" w14:textId="77777777" w:rsidR="005E099D" w:rsidRDefault="005E099D" w:rsidP="009E7702">
      <w:pPr>
        <w:rPr>
          <w:rFonts w:ascii="Rockwell Nova" w:hAnsi="Rockwell Nova" w:cs="Arial"/>
          <w:color w:val="18C901"/>
          <w:sz w:val="20"/>
          <w:szCs w:val="20"/>
        </w:rPr>
      </w:pPr>
    </w:p>
    <w:p w14:paraId="2988FE53" w14:textId="1E3B65D6" w:rsidR="00246BE4" w:rsidRPr="00246BE4" w:rsidRDefault="001A373A" w:rsidP="009E7702">
      <w:pPr>
        <w:rPr>
          <w:rFonts w:ascii="Rockwell Nova" w:hAnsi="Rockwell Nova" w:cs="Arial"/>
          <w:b/>
          <w:bCs/>
          <w:sz w:val="20"/>
          <w:szCs w:val="20"/>
        </w:rPr>
      </w:pPr>
      <w:r>
        <w:rPr>
          <w:rFonts w:ascii="Rockwell Nova" w:hAnsi="Rockwell Nova" w:cs="Arial"/>
          <w:color w:val="18C901"/>
          <w:sz w:val="20"/>
          <w:szCs w:val="20"/>
        </w:rPr>
        <w:t>We have included</w:t>
      </w:r>
      <w:r w:rsidR="00E946F0">
        <w:rPr>
          <w:rFonts w:ascii="Rockwell Nova" w:hAnsi="Rockwell Nova" w:cs="Arial"/>
          <w:color w:val="18C901"/>
          <w:sz w:val="20"/>
          <w:szCs w:val="20"/>
        </w:rPr>
        <w:t xml:space="preserve"> here</w:t>
      </w:r>
      <w:r w:rsidR="000A7E5C">
        <w:rPr>
          <w:rFonts w:ascii="Rockwell Nova" w:hAnsi="Rockwell Nova" w:cs="Arial"/>
          <w:color w:val="18C901"/>
          <w:sz w:val="20"/>
          <w:szCs w:val="20"/>
        </w:rPr>
        <w:t xml:space="preserve"> the exemptions that you </w:t>
      </w:r>
      <w:r w:rsidR="00442AE9">
        <w:rPr>
          <w:rFonts w:ascii="Rockwell Nova" w:hAnsi="Rockwell Nova" w:cs="Arial"/>
          <w:color w:val="18C901"/>
          <w:sz w:val="20"/>
          <w:szCs w:val="20"/>
        </w:rPr>
        <w:t>are most likely to</w:t>
      </w:r>
      <w:r w:rsidR="000A7E5C">
        <w:rPr>
          <w:rFonts w:ascii="Rockwell Nova" w:hAnsi="Rockwell Nova" w:cs="Arial"/>
          <w:color w:val="18C901"/>
          <w:sz w:val="20"/>
          <w:szCs w:val="20"/>
        </w:rPr>
        <w:t xml:space="preserve"> use and notify a data subject about with regards to a SAR. For </w:t>
      </w:r>
      <w:r w:rsidR="00442AE9">
        <w:rPr>
          <w:rFonts w:ascii="Rockwell Nova" w:hAnsi="Rockwell Nova" w:cs="Arial"/>
          <w:color w:val="18C901"/>
          <w:sz w:val="20"/>
          <w:szCs w:val="20"/>
        </w:rPr>
        <w:t xml:space="preserve">the full list of exemptions </w:t>
      </w:r>
      <w:r w:rsidR="00BF6678">
        <w:rPr>
          <w:rFonts w:ascii="Rockwell Nova" w:hAnsi="Rockwell Nova" w:cs="Arial"/>
          <w:color w:val="18C901"/>
          <w:sz w:val="20"/>
          <w:szCs w:val="20"/>
        </w:rPr>
        <w:t xml:space="preserve">you might use with a SAR, please see the ICO’s guidance linked above or our own guidance on exemptions - </w:t>
      </w:r>
      <w:hyperlink r:id="rId11" w:history="1">
        <w:r w:rsidR="005E099D" w:rsidRPr="00AA0ECE">
          <w:rPr>
            <w:rStyle w:val="Hyperlink"/>
            <w:rFonts w:ascii="Rockwell Nova" w:hAnsi="Rockwell Nova" w:cs="Arial"/>
            <w:sz w:val="20"/>
            <w:szCs w:val="20"/>
          </w:rPr>
          <w:t>https://schoolpro.uk/2022/03/subject-access-requests-our-guidance-for-schools-colleges-trusts/</w:t>
        </w:r>
      </w:hyperlink>
      <w:r w:rsidR="005E099D">
        <w:rPr>
          <w:rFonts w:ascii="Rockwell Nova" w:hAnsi="Rockwell Nova" w:cs="Arial"/>
          <w:color w:val="18C901"/>
          <w:sz w:val="20"/>
          <w:szCs w:val="20"/>
        </w:rPr>
        <w:t>.</w:t>
      </w:r>
      <w:r w:rsidR="00246BE4" w:rsidRPr="009E7702">
        <w:rPr>
          <w:rFonts w:ascii="Rockwell Nova" w:hAnsi="Rockwell Nova" w:cs="Arial"/>
          <w:color w:val="18C901"/>
          <w:sz w:val="20"/>
          <w:szCs w:val="20"/>
        </w:rPr>
        <w:t>]</w:t>
      </w:r>
    </w:p>
    <w:p w14:paraId="733FF81E" w14:textId="77777777" w:rsidR="00246BE4" w:rsidRDefault="00246BE4" w:rsidP="009E7702">
      <w:pPr>
        <w:rPr>
          <w:rFonts w:ascii="Rockwell Nova" w:hAnsi="Rockwell Nova" w:cs="Arial"/>
          <w:sz w:val="20"/>
          <w:szCs w:val="20"/>
        </w:rPr>
      </w:pPr>
    </w:p>
    <w:p w14:paraId="01157E61" w14:textId="1B54602E" w:rsidR="00246BE4" w:rsidRPr="00246BE4" w:rsidRDefault="00246BE4" w:rsidP="00246BE4">
      <w:pPr>
        <w:rPr>
          <w:rFonts w:ascii="Rockwell Nova" w:hAnsi="Rockwell Nova" w:cs="Arial"/>
          <w:b/>
          <w:bCs/>
          <w:sz w:val="20"/>
          <w:szCs w:val="20"/>
        </w:rPr>
      </w:pPr>
      <w:r w:rsidRPr="00246BE4">
        <w:rPr>
          <w:rFonts w:ascii="Rockwell Nova" w:hAnsi="Rockwell Nova" w:cs="Arial"/>
          <w:b/>
          <w:bCs/>
          <w:sz w:val="20"/>
          <w:szCs w:val="20"/>
        </w:rPr>
        <w:t>Information about others</w:t>
      </w:r>
    </w:p>
    <w:p w14:paraId="309DF9E0" w14:textId="1C66C7DC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There is an exemption in the DPA 2018 that says </w:t>
      </w:r>
      <w:r>
        <w:rPr>
          <w:rFonts w:ascii="Rockwell Nova" w:hAnsi="Rockwell Nova" w:cs="Arial"/>
          <w:sz w:val="20"/>
          <w:szCs w:val="20"/>
        </w:rPr>
        <w:t>we</w:t>
      </w:r>
      <w:r w:rsidRPr="00246BE4">
        <w:rPr>
          <w:rFonts w:ascii="Rockwell Nova" w:hAnsi="Rockwell Nova" w:cs="Arial"/>
          <w:sz w:val="20"/>
          <w:szCs w:val="20"/>
        </w:rPr>
        <w:t xml:space="preserve"> do not have to comply with a SAR, if doing so means disclosing information which identifies another individual, except where:</w:t>
      </w:r>
    </w:p>
    <w:p w14:paraId="3787C76A" w14:textId="77777777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 </w:t>
      </w:r>
    </w:p>
    <w:p w14:paraId="6EFA05F5" w14:textId="476F09B3" w:rsidR="00246BE4" w:rsidRPr="00246BE4" w:rsidRDefault="00246BE4" w:rsidP="00595DD4">
      <w:pPr>
        <w:numPr>
          <w:ilvl w:val="0"/>
          <w:numId w:val="1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the other individual has consented to the disclosure; or</w:t>
      </w:r>
    </w:p>
    <w:p w14:paraId="08C38570" w14:textId="725DCCA8" w:rsidR="00246BE4" w:rsidRDefault="00246BE4" w:rsidP="00595DD4">
      <w:pPr>
        <w:numPr>
          <w:ilvl w:val="0"/>
          <w:numId w:val="1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it is reasonable to comply with the request without that individual’s consent.</w:t>
      </w:r>
    </w:p>
    <w:p w14:paraId="13814125" w14:textId="1013A8F4" w:rsidR="00CE72A8" w:rsidRDefault="00CE72A8" w:rsidP="00CE72A8">
      <w:pPr>
        <w:rPr>
          <w:rFonts w:ascii="Rockwell Nova" w:hAnsi="Rockwell Nova" w:cs="Arial"/>
          <w:sz w:val="20"/>
          <w:szCs w:val="20"/>
        </w:rPr>
      </w:pPr>
    </w:p>
    <w:p w14:paraId="5D455DE0" w14:textId="60A2EFAA" w:rsidR="0014029A" w:rsidRPr="00246BE4" w:rsidRDefault="0014029A" w:rsidP="00CE72A8">
      <w:pPr>
        <w:rPr>
          <w:rFonts w:ascii="Rockwell Nova" w:hAnsi="Rockwell Nova" w:cs="Arial"/>
          <w:sz w:val="20"/>
          <w:szCs w:val="20"/>
        </w:rPr>
      </w:pPr>
      <w:r>
        <w:rPr>
          <w:rFonts w:ascii="Rockwell Nova" w:hAnsi="Rockwell Nova" w:cs="Arial"/>
          <w:sz w:val="20"/>
          <w:szCs w:val="20"/>
        </w:rPr>
        <w:t>In this case, we have identified instances where information about others has needed to be redacted as per this exemption.</w:t>
      </w:r>
    </w:p>
    <w:p w14:paraId="4FE2CFDC" w14:textId="77777777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 </w:t>
      </w:r>
    </w:p>
    <w:p w14:paraId="4B4D1146" w14:textId="4BEC1030" w:rsidR="00246BE4" w:rsidRPr="00595DD4" w:rsidRDefault="00595DD4" w:rsidP="00246BE4">
      <w:pPr>
        <w:rPr>
          <w:rFonts w:ascii="Rockwell Nova" w:hAnsi="Rockwell Nova" w:cs="Arial"/>
          <w:b/>
          <w:bCs/>
          <w:sz w:val="20"/>
          <w:szCs w:val="20"/>
        </w:rPr>
      </w:pPr>
      <w:r w:rsidRPr="00595DD4">
        <w:rPr>
          <w:rFonts w:ascii="Rockwell Nova" w:hAnsi="Rockwell Nova" w:cs="Arial"/>
          <w:b/>
          <w:bCs/>
          <w:sz w:val="20"/>
          <w:szCs w:val="20"/>
        </w:rPr>
        <w:t>Confidentiality</w:t>
      </w:r>
      <w:r w:rsidR="00810D6E">
        <w:rPr>
          <w:rFonts w:ascii="Rockwell Nova" w:hAnsi="Rockwell Nova" w:cs="Arial"/>
          <w:b/>
          <w:bCs/>
          <w:sz w:val="20"/>
          <w:szCs w:val="20"/>
        </w:rPr>
        <w:t xml:space="preserve"> </w:t>
      </w:r>
      <w:r w:rsidR="00810D6E" w:rsidRPr="009E7702">
        <w:rPr>
          <w:rFonts w:ascii="Rockwell Nova" w:hAnsi="Rockwell Nova" w:cs="Arial"/>
          <w:color w:val="18C901"/>
          <w:sz w:val="20"/>
          <w:szCs w:val="20"/>
        </w:rPr>
        <w:t>[</w:t>
      </w:r>
      <w:r w:rsidR="00810D6E">
        <w:rPr>
          <w:rFonts w:ascii="Rockwell Nova" w:hAnsi="Rockwell Nova" w:cs="Arial"/>
          <w:color w:val="18C901"/>
          <w:sz w:val="20"/>
          <w:szCs w:val="20"/>
        </w:rPr>
        <w:t>Amend as applicable to the specific request</w:t>
      </w:r>
      <w:r w:rsidR="00810D6E" w:rsidRPr="009E7702">
        <w:rPr>
          <w:rFonts w:ascii="Rockwell Nova" w:hAnsi="Rockwell Nova" w:cs="Arial"/>
          <w:color w:val="18C901"/>
          <w:sz w:val="20"/>
          <w:szCs w:val="20"/>
        </w:rPr>
        <w:t>]</w:t>
      </w:r>
    </w:p>
    <w:p w14:paraId="669C88EA" w14:textId="042571D2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A duty of confidence arises where an individual discloses genuinely ‘confidential’ information (</w:t>
      </w:r>
      <w:r w:rsidR="004C4D5F" w:rsidRPr="00246BE4">
        <w:rPr>
          <w:rFonts w:ascii="Rockwell Nova" w:hAnsi="Rockwell Nova" w:cs="Arial"/>
          <w:sz w:val="20"/>
          <w:szCs w:val="20"/>
        </w:rPr>
        <w:t>i.e.</w:t>
      </w:r>
      <w:r w:rsidRPr="00246BE4">
        <w:rPr>
          <w:rFonts w:ascii="Rockwell Nova" w:hAnsi="Rockwell Nova" w:cs="Arial"/>
          <w:sz w:val="20"/>
          <w:szCs w:val="20"/>
        </w:rPr>
        <w:t xml:space="preserve"> information that is not generally available to the public) to</w:t>
      </w:r>
      <w:r w:rsidR="00595DD4">
        <w:rPr>
          <w:rFonts w:ascii="Rockwell Nova" w:hAnsi="Rockwell Nova" w:cs="Arial"/>
          <w:sz w:val="20"/>
          <w:szCs w:val="20"/>
        </w:rPr>
        <w:t xml:space="preserve"> us</w:t>
      </w:r>
      <w:r w:rsidRPr="00246BE4">
        <w:rPr>
          <w:rFonts w:ascii="Rockwell Nova" w:hAnsi="Rockwell Nova" w:cs="Arial"/>
          <w:sz w:val="20"/>
          <w:szCs w:val="20"/>
        </w:rPr>
        <w:t>, with the expectation that it remains confidential. This expectation might result from:</w:t>
      </w:r>
    </w:p>
    <w:p w14:paraId="1E3D54B9" w14:textId="77777777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 </w:t>
      </w:r>
    </w:p>
    <w:p w14:paraId="31E7FD46" w14:textId="74F27ED6" w:rsidR="00246BE4" w:rsidRPr="00246BE4" w:rsidRDefault="00246BE4" w:rsidP="00B575A6">
      <w:pPr>
        <w:numPr>
          <w:ilvl w:val="0"/>
          <w:numId w:val="2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the content and context of the third-party data. For example, if it reveals that the third party is the subject of an ongoing disciplinary investigation; or</w:t>
      </w:r>
    </w:p>
    <w:p w14:paraId="2BEC2585" w14:textId="03DACF30" w:rsidR="00246BE4" w:rsidRPr="00246BE4" w:rsidRDefault="00246BE4" w:rsidP="00B575A6">
      <w:pPr>
        <w:numPr>
          <w:ilvl w:val="0"/>
          <w:numId w:val="2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from the relationship between the parties. For example, the following relationships would generally carry with them a duty of confidence:</w:t>
      </w:r>
    </w:p>
    <w:p w14:paraId="1D6836E9" w14:textId="3A4371C5" w:rsidR="00246BE4" w:rsidRPr="00246BE4" w:rsidRDefault="00246BE4" w:rsidP="00D94F75">
      <w:pPr>
        <w:numPr>
          <w:ilvl w:val="1"/>
          <w:numId w:val="2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Medical (doctor and patient).</w:t>
      </w:r>
    </w:p>
    <w:p w14:paraId="420F4915" w14:textId="190103E0" w:rsidR="00246BE4" w:rsidRPr="00246BE4" w:rsidRDefault="00246BE4" w:rsidP="00D94F75">
      <w:pPr>
        <w:numPr>
          <w:ilvl w:val="1"/>
          <w:numId w:val="2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Employment (employer and employee).</w:t>
      </w:r>
    </w:p>
    <w:p w14:paraId="5F738C8F" w14:textId="0192574C" w:rsidR="00246BE4" w:rsidRPr="00246BE4" w:rsidRDefault="00094A55" w:rsidP="00D94F75">
      <w:pPr>
        <w:numPr>
          <w:ilvl w:val="1"/>
          <w:numId w:val="2"/>
        </w:numPr>
        <w:rPr>
          <w:rFonts w:ascii="Rockwell Nova" w:hAnsi="Rockwell Nova" w:cs="Arial"/>
          <w:sz w:val="20"/>
          <w:szCs w:val="20"/>
        </w:rPr>
      </w:pPr>
      <w:r>
        <w:rPr>
          <w:rFonts w:ascii="Rockwell Nova" w:hAnsi="Rockwell Nova" w:cs="Arial"/>
          <w:sz w:val="20"/>
          <w:szCs w:val="20"/>
        </w:rPr>
        <w:t>Le</w:t>
      </w:r>
      <w:r w:rsidR="00246BE4" w:rsidRPr="00246BE4">
        <w:rPr>
          <w:rFonts w:ascii="Rockwell Nova" w:hAnsi="Rockwell Nova" w:cs="Arial"/>
          <w:sz w:val="20"/>
          <w:szCs w:val="20"/>
        </w:rPr>
        <w:t>gal (solicitor and client).</w:t>
      </w:r>
    </w:p>
    <w:p w14:paraId="4390D349" w14:textId="78FA85A6" w:rsidR="00246BE4" w:rsidRPr="00246BE4" w:rsidRDefault="00246BE4" w:rsidP="00D94F75">
      <w:pPr>
        <w:numPr>
          <w:ilvl w:val="1"/>
          <w:numId w:val="2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Caring (counsellor and client).</w:t>
      </w:r>
    </w:p>
    <w:p w14:paraId="260667EB" w14:textId="43D510A9" w:rsidR="00246BE4" w:rsidRPr="00246BE4" w:rsidRDefault="00246BE4" w:rsidP="00D94F75">
      <w:pPr>
        <w:numPr>
          <w:ilvl w:val="1"/>
          <w:numId w:val="2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Trade Unions (trade union representative and member)</w:t>
      </w:r>
    </w:p>
    <w:p w14:paraId="5ECD7863" w14:textId="77777777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 </w:t>
      </w:r>
    </w:p>
    <w:p w14:paraId="7988DE50" w14:textId="6427E611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However, </w:t>
      </w:r>
      <w:r w:rsidR="00D94F75">
        <w:rPr>
          <w:rFonts w:ascii="Rockwell Nova" w:hAnsi="Rockwell Nova" w:cs="Arial"/>
          <w:sz w:val="20"/>
          <w:szCs w:val="20"/>
        </w:rPr>
        <w:t>we will not</w:t>
      </w:r>
      <w:r w:rsidRPr="00246BE4">
        <w:rPr>
          <w:rFonts w:ascii="Rockwell Nova" w:hAnsi="Rockwell Nova" w:cs="Arial"/>
          <w:sz w:val="20"/>
          <w:szCs w:val="20"/>
        </w:rPr>
        <w:t xml:space="preserve"> always assume confidential</w:t>
      </w:r>
      <w:r w:rsidR="00D5279C">
        <w:rPr>
          <w:rFonts w:ascii="Rockwell Nova" w:hAnsi="Rockwell Nova" w:cs="Arial"/>
          <w:sz w:val="20"/>
          <w:szCs w:val="20"/>
        </w:rPr>
        <w:t>ity and have only applied it where we feel it is genuinely applicable.</w:t>
      </w:r>
    </w:p>
    <w:p w14:paraId="3C287EF4" w14:textId="29A792F0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 </w:t>
      </w:r>
    </w:p>
    <w:p w14:paraId="789B393E" w14:textId="77777777" w:rsidR="00246BE4" w:rsidRPr="00262ACE" w:rsidRDefault="00246BE4" w:rsidP="00246BE4">
      <w:pPr>
        <w:rPr>
          <w:rFonts w:ascii="Rockwell Nova" w:hAnsi="Rockwell Nova" w:cs="Arial"/>
          <w:b/>
          <w:bCs/>
          <w:sz w:val="20"/>
          <w:szCs w:val="20"/>
        </w:rPr>
      </w:pPr>
      <w:r w:rsidRPr="00262ACE">
        <w:rPr>
          <w:rFonts w:ascii="Rockwell Nova" w:hAnsi="Rockwell Nova" w:cs="Arial"/>
          <w:b/>
          <w:bCs/>
          <w:sz w:val="20"/>
          <w:szCs w:val="20"/>
        </w:rPr>
        <w:t>Education data – processed by a court</w:t>
      </w:r>
    </w:p>
    <w:p w14:paraId="2A59CDAC" w14:textId="6C883240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This exemption can apply to education data (personal data in an educational record) processed by a court</w:t>
      </w:r>
      <w:r w:rsidR="00506A0F">
        <w:rPr>
          <w:rFonts w:ascii="Rockwell Nova" w:hAnsi="Rockwell Nova" w:cs="Arial"/>
          <w:sz w:val="20"/>
          <w:szCs w:val="20"/>
        </w:rPr>
        <w:t xml:space="preserve"> which is relevant in this case</w:t>
      </w:r>
      <w:r w:rsidRPr="00246BE4">
        <w:rPr>
          <w:rFonts w:ascii="Rockwell Nova" w:hAnsi="Rockwell Nova" w:cs="Arial"/>
          <w:sz w:val="20"/>
          <w:szCs w:val="20"/>
        </w:rPr>
        <w:t>.</w:t>
      </w:r>
      <w:r w:rsidR="00CA3C14">
        <w:rPr>
          <w:rFonts w:ascii="Rockwell Nova" w:hAnsi="Rockwell Nova" w:cs="Arial"/>
          <w:sz w:val="20"/>
          <w:szCs w:val="20"/>
        </w:rPr>
        <w:t xml:space="preserve"> T</w:t>
      </w:r>
      <w:r w:rsidRPr="00246BE4">
        <w:rPr>
          <w:rFonts w:ascii="Rockwell Nova" w:hAnsi="Rockwell Nova" w:cs="Arial"/>
          <w:sz w:val="20"/>
          <w:szCs w:val="20"/>
        </w:rPr>
        <w:t>he exemption applies if the education data is:</w:t>
      </w:r>
    </w:p>
    <w:p w14:paraId="5234180D" w14:textId="77777777" w:rsidR="00246BE4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 </w:t>
      </w:r>
    </w:p>
    <w:p w14:paraId="338B7906" w14:textId="483FE7A9" w:rsidR="00246BE4" w:rsidRPr="00246BE4" w:rsidRDefault="00246BE4" w:rsidP="00CA3C14">
      <w:pPr>
        <w:numPr>
          <w:ilvl w:val="0"/>
          <w:numId w:val="6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supplied in a report or evidence given to the court </w:t>
      </w:r>
      <w:proofErr w:type="gramStart"/>
      <w:r w:rsidRPr="00246BE4">
        <w:rPr>
          <w:rFonts w:ascii="Rockwell Nova" w:hAnsi="Rockwell Nova" w:cs="Arial"/>
          <w:sz w:val="20"/>
          <w:szCs w:val="20"/>
        </w:rPr>
        <w:t>in the course of</w:t>
      </w:r>
      <w:proofErr w:type="gramEnd"/>
      <w:r w:rsidRPr="00246BE4">
        <w:rPr>
          <w:rFonts w:ascii="Rockwell Nova" w:hAnsi="Rockwell Nova" w:cs="Arial"/>
          <w:sz w:val="20"/>
          <w:szCs w:val="20"/>
        </w:rPr>
        <w:t xml:space="preserve"> proceedings; and</w:t>
      </w:r>
    </w:p>
    <w:p w14:paraId="08AEADE7" w14:textId="6270B1F1" w:rsidR="00246BE4" w:rsidRPr="00246BE4" w:rsidRDefault="00246BE4" w:rsidP="00CA3C14">
      <w:pPr>
        <w:numPr>
          <w:ilvl w:val="0"/>
          <w:numId w:val="6"/>
        </w:num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>those proceedings are subject to certain specific statutory rules that allow the education data to be withheld from the individual it relates to.</w:t>
      </w:r>
    </w:p>
    <w:p w14:paraId="14D08A0C" w14:textId="17C7C5C7" w:rsidR="00325BA0" w:rsidRPr="00246BE4" w:rsidRDefault="00246BE4" w:rsidP="00246BE4">
      <w:pPr>
        <w:rPr>
          <w:rFonts w:ascii="Rockwell Nova" w:hAnsi="Rockwell Nova" w:cs="Arial"/>
          <w:sz w:val="20"/>
          <w:szCs w:val="20"/>
        </w:rPr>
      </w:pPr>
      <w:r w:rsidRPr="00246BE4">
        <w:rPr>
          <w:rFonts w:ascii="Rockwell Nova" w:hAnsi="Rockwell Nova" w:cs="Arial"/>
          <w:sz w:val="20"/>
          <w:szCs w:val="20"/>
        </w:rPr>
        <w:t xml:space="preserve"> </w:t>
      </w:r>
    </w:p>
    <w:p w14:paraId="46A3B210" w14:textId="77777777" w:rsidR="0063194B" w:rsidRPr="009E7702" w:rsidRDefault="0063194B" w:rsidP="009E7702">
      <w:pPr>
        <w:rPr>
          <w:rFonts w:ascii="Rockwell Nova" w:hAnsi="Rockwell Nova" w:cs="Arial"/>
          <w:sz w:val="20"/>
          <w:szCs w:val="20"/>
        </w:rPr>
      </w:pPr>
    </w:p>
    <w:p w14:paraId="5D4B79CB" w14:textId="3765F025" w:rsid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>If you have any questions about your request, wish to seek advice about your data, or make a complaint</w:t>
      </w:r>
      <w:r w:rsidR="00325BA0">
        <w:rPr>
          <w:rFonts w:ascii="Rockwell Nova" w:hAnsi="Rockwell Nova" w:cs="Arial"/>
          <w:sz w:val="20"/>
          <w:szCs w:val="20"/>
        </w:rPr>
        <w:t>,</w:t>
      </w:r>
      <w:r w:rsidRPr="009E7702">
        <w:rPr>
          <w:rFonts w:ascii="Rockwell Nova" w:hAnsi="Rockwell Nova" w:cs="Arial"/>
          <w:sz w:val="20"/>
          <w:szCs w:val="20"/>
        </w:rPr>
        <w:t xml:space="preserve"> please contact our independent Data Protection Officer. This can be done by contacting SchoolPro TLC on </w:t>
      </w:r>
      <w:hyperlink r:id="rId12" w:history="1">
        <w:r w:rsidR="004C4D5F" w:rsidRPr="00AA0ECE">
          <w:rPr>
            <w:rStyle w:val="Hyperlink"/>
            <w:rFonts w:ascii="Rockwell Nova" w:hAnsi="Rockwell Nova" w:cs="Arial"/>
            <w:sz w:val="20"/>
            <w:szCs w:val="20"/>
          </w:rPr>
          <w:t>DPO@SchoolPro.uk</w:t>
        </w:r>
      </w:hyperlink>
      <w:r w:rsidRPr="009E7702">
        <w:rPr>
          <w:rFonts w:ascii="Rockwell Nova" w:hAnsi="Rockwell Nova" w:cs="Arial"/>
          <w:sz w:val="20"/>
          <w:szCs w:val="20"/>
        </w:rPr>
        <w:t xml:space="preserve">. </w:t>
      </w:r>
    </w:p>
    <w:p w14:paraId="46B925AD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</w:p>
    <w:p w14:paraId="338C3C9C" w14:textId="4CE6316B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You are also able to gain further support or make a complaint to the Information Commissioner’s Office at </w:t>
      </w:r>
      <w:hyperlink r:id="rId13" w:history="1">
        <w:r w:rsidRPr="0001185D">
          <w:rPr>
            <w:rStyle w:val="Hyperlink"/>
            <w:rFonts w:ascii="Rockwell Nova" w:hAnsi="Rockwell Nova" w:cs="Arial"/>
            <w:sz w:val="20"/>
            <w:szCs w:val="20"/>
          </w:rPr>
          <w:t>https://ICO.org.uk</w:t>
        </w:r>
      </w:hyperlink>
      <w:r>
        <w:rPr>
          <w:rFonts w:ascii="Rockwell Nova" w:hAnsi="Rockwell Nova" w:cs="Arial"/>
          <w:sz w:val="20"/>
          <w:szCs w:val="20"/>
        </w:rPr>
        <w:t xml:space="preserve">, </w:t>
      </w:r>
      <w:r w:rsidRPr="009E7702">
        <w:rPr>
          <w:rFonts w:ascii="Rockwell Nova" w:hAnsi="Rockwell Nova" w:cs="Arial"/>
          <w:sz w:val="20"/>
          <w:szCs w:val="20"/>
        </w:rPr>
        <w:t>although we would encourage you</w:t>
      </w:r>
      <w:r>
        <w:rPr>
          <w:rFonts w:ascii="Rockwell Nova" w:hAnsi="Rockwell Nova" w:cs="Arial"/>
          <w:sz w:val="20"/>
          <w:szCs w:val="20"/>
        </w:rPr>
        <w:t xml:space="preserve"> </w:t>
      </w:r>
      <w:r w:rsidRPr="009E7702">
        <w:rPr>
          <w:rFonts w:ascii="Rockwell Nova" w:hAnsi="Rockwell Nova" w:cs="Arial"/>
          <w:sz w:val="20"/>
          <w:szCs w:val="20"/>
        </w:rPr>
        <w:t>to speak to the Data Protection Officer in the first instance.</w:t>
      </w:r>
    </w:p>
    <w:p w14:paraId="25FDFAAD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 </w:t>
      </w:r>
    </w:p>
    <w:p w14:paraId="34687C68" w14:textId="021F4883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>Regards</w:t>
      </w:r>
      <w:r>
        <w:rPr>
          <w:rFonts w:ascii="Rockwell Nova" w:hAnsi="Rockwell Nova" w:cs="Arial"/>
          <w:sz w:val="20"/>
          <w:szCs w:val="20"/>
        </w:rPr>
        <w:t>,</w:t>
      </w:r>
    </w:p>
    <w:p w14:paraId="24E3D99C" w14:textId="33E486EB" w:rsidR="00D461F2" w:rsidRPr="009E7702" w:rsidRDefault="00D461F2" w:rsidP="00D461F2">
      <w:pPr>
        <w:jc w:val="both"/>
        <w:rPr>
          <w:rFonts w:ascii="Rockwell Nova" w:hAnsi="Rockwell Nova" w:cs="Arial"/>
          <w:sz w:val="20"/>
          <w:szCs w:val="20"/>
        </w:rPr>
      </w:pPr>
    </w:p>
    <w:sectPr w:rsidR="00D461F2" w:rsidRPr="009E77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526D" w14:textId="77777777" w:rsidR="007E1DE6" w:rsidRDefault="007E1DE6" w:rsidP="00236276">
      <w:r>
        <w:separator/>
      </w:r>
    </w:p>
  </w:endnote>
  <w:endnote w:type="continuationSeparator" w:id="0">
    <w:p w14:paraId="344D14BD" w14:textId="77777777" w:rsidR="007E1DE6" w:rsidRDefault="007E1DE6" w:rsidP="0023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9A2D" w14:textId="77777777" w:rsidR="00D46844" w:rsidRDefault="00D46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4453C" w14:textId="77777777" w:rsidR="008761C5" w:rsidRPr="00D461F2" w:rsidRDefault="008761C5">
    <w:pPr>
      <w:pStyle w:val="Footer"/>
      <w:jc w:val="right"/>
      <w:rPr>
        <w:rFonts w:ascii="Rockwell Nova" w:hAnsi="Rockwell Nova"/>
        <w:sz w:val="18"/>
        <w:szCs w:val="18"/>
      </w:rPr>
    </w:pPr>
    <w:r w:rsidRPr="00D461F2">
      <w:rPr>
        <w:rFonts w:ascii="Rockwell Nova" w:hAnsi="Rockwell Nova"/>
        <w:sz w:val="18"/>
        <w:szCs w:val="18"/>
      </w:rPr>
      <w:t xml:space="preserve">Page | </w:t>
    </w:r>
    <w:r w:rsidRPr="00D461F2">
      <w:rPr>
        <w:rFonts w:ascii="Rockwell Nova" w:hAnsi="Rockwell Nova"/>
        <w:sz w:val="18"/>
        <w:szCs w:val="18"/>
      </w:rPr>
      <w:fldChar w:fldCharType="begin"/>
    </w:r>
    <w:r w:rsidRPr="00D461F2">
      <w:rPr>
        <w:rFonts w:ascii="Rockwell Nova" w:hAnsi="Rockwell Nova"/>
        <w:sz w:val="18"/>
        <w:szCs w:val="18"/>
      </w:rPr>
      <w:instrText xml:space="preserve"> PAGE   \* MERGEFORMAT </w:instrText>
    </w:r>
    <w:r w:rsidRPr="00D461F2">
      <w:rPr>
        <w:rFonts w:ascii="Rockwell Nova" w:hAnsi="Rockwell Nova"/>
        <w:sz w:val="18"/>
        <w:szCs w:val="18"/>
      </w:rPr>
      <w:fldChar w:fldCharType="separate"/>
    </w:r>
    <w:r w:rsidRPr="00D461F2">
      <w:rPr>
        <w:rFonts w:ascii="Rockwell Nova" w:hAnsi="Rockwell Nova"/>
        <w:noProof/>
        <w:sz w:val="18"/>
        <w:szCs w:val="18"/>
      </w:rPr>
      <w:t>2</w:t>
    </w:r>
    <w:r w:rsidRPr="00D461F2">
      <w:rPr>
        <w:rFonts w:ascii="Rockwell Nova" w:hAnsi="Rockwell Nova"/>
        <w:noProof/>
        <w:sz w:val="18"/>
        <w:szCs w:val="18"/>
      </w:rPr>
      <w:fldChar w:fldCharType="end"/>
    </w:r>
    <w:r w:rsidRPr="00D461F2">
      <w:rPr>
        <w:rFonts w:ascii="Rockwell Nova" w:hAnsi="Rockwell Nova"/>
        <w:sz w:val="18"/>
        <w:szCs w:val="18"/>
      </w:rPr>
      <w:t xml:space="preserve"> </w:t>
    </w:r>
  </w:p>
  <w:p w14:paraId="7A00E4BD" w14:textId="77777777" w:rsidR="00D461F2" w:rsidRDefault="00D461F2" w:rsidP="00D461F2">
    <w:pPr>
      <w:pStyle w:val="Footer"/>
      <w:ind w:left="284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DA98" w14:textId="77777777" w:rsidR="00D46844" w:rsidRDefault="00D46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1AC4" w14:textId="77777777" w:rsidR="007E1DE6" w:rsidRDefault="007E1DE6" w:rsidP="00236276">
      <w:r>
        <w:separator/>
      </w:r>
    </w:p>
  </w:footnote>
  <w:footnote w:type="continuationSeparator" w:id="0">
    <w:p w14:paraId="540464D6" w14:textId="77777777" w:rsidR="007E1DE6" w:rsidRDefault="007E1DE6" w:rsidP="0023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BB2F" w14:textId="77777777" w:rsidR="00D46844" w:rsidRDefault="00D46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E5D0" w14:textId="2CBB4BC6" w:rsidR="00236276" w:rsidRDefault="009E7702" w:rsidP="00236276">
    <w:pPr>
      <w:jc w:val="center"/>
      <w:rPr>
        <w:rFonts w:ascii="Rockwell Nova" w:hAnsi="Rockwell Nova" w:cs="Arial"/>
      </w:rPr>
    </w:pPr>
    <w:r>
      <w:rPr>
        <w:rFonts w:ascii="Rockwell Nova" w:hAnsi="Rockwell Nova" w:cs="Arial"/>
      </w:rPr>
      <w:t xml:space="preserve">Subject Access Request </w:t>
    </w:r>
    <w:r w:rsidR="00833C7D">
      <w:rPr>
        <w:rFonts w:ascii="Rockwell Nova" w:hAnsi="Rockwell Nova" w:cs="Arial"/>
      </w:rPr>
      <w:t>Response Cover Letter</w:t>
    </w:r>
    <w:r w:rsidR="00236276" w:rsidRPr="008761C5">
      <w:rPr>
        <w:rFonts w:ascii="Rockwell Nova" w:hAnsi="Rockwell Nova" w:cs="Arial"/>
      </w:rPr>
      <w:t xml:space="preserve">  </w:t>
    </w:r>
  </w:p>
  <w:p w14:paraId="26563701" w14:textId="77777777" w:rsidR="00D461F2" w:rsidRPr="008761C5" w:rsidRDefault="00D461F2" w:rsidP="00236276">
    <w:pPr>
      <w:jc w:val="center"/>
      <w:rPr>
        <w:rFonts w:ascii="Rockwell Nova" w:hAnsi="Rockwell Nova" w:cs="Arial"/>
      </w:rPr>
    </w:pPr>
  </w:p>
  <w:p w14:paraId="5488DE0E" w14:textId="77777777" w:rsidR="00236276" w:rsidRPr="00236276" w:rsidRDefault="00236276" w:rsidP="00236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B323" w14:textId="77777777" w:rsidR="00D46844" w:rsidRDefault="00D46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69DF"/>
    <w:multiLevelType w:val="hybridMultilevel"/>
    <w:tmpl w:val="ABEC2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3AE"/>
    <w:multiLevelType w:val="hybridMultilevel"/>
    <w:tmpl w:val="BB58A0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0AD"/>
    <w:multiLevelType w:val="hybridMultilevel"/>
    <w:tmpl w:val="8C34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79C4"/>
    <w:multiLevelType w:val="hybridMultilevel"/>
    <w:tmpl w:val="55EC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7068"/>
    <w:multiLevelType w:val="hybridMultilevel"/>
    <w:tmpl w:val="944E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F2621"/>
    <w:multiLevelType w:val="hybridMultilevel"/>
    <w:tmpl w:val="CEDC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09316">
    <w:abstractNumId w:val="5"/>
  </w:num>
  <w:num w:numId="2" w16cid:durableId="2057968109">
    <w:abstractNumId w:val="4"/>
  </w:num>
  <w:num w:numId="3" w16cid:durableId="1689483772">
    <w:abstractNumId w:val="1"/>
  </w:num>
  <w:num w:numId="4" w16cid:durableId="467406753">
    <w:abstractNumId w:val="0"/>
  </w:num>
  <w:num w:numId="5" w16cid:durableId="1310867376">
    <w:abstractNumId w:val="3"/>
  </w:num>
  <w:num w:numId="6" w16cid:durableId="2099209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702"/>
    <w:rsid w:val="000939AF"/>
    <w:rsid w:val="00094A55"/>
    <w:rsid w:val="000A7E5C"/>
    <w:rsid w:val="0014029A"/>
    <w:rsid w:val="00145121"/>
    <w:rsid w:val="001A373A"/>
    <w:rsid w:val="001C7F46"/>
    <w:rsid w:val="00236276"/>
    <w:rsid w:val="00246BE4"/>
    <w:rsid w:val="00262ACE"/>
    <w:rsid w:val="002C61C8"/>
    <w:rsid w:val="00325BA0"/>
    <w:rsid w:val="00442AE9"/>
    <w:rsid w:val="004676EA"/>
    <w:rsid w:val="004C4D5F"/>
    <w:rsid w:val="00506A0F"/>
    <w:rsid w:val="0052757E"/>
    <w:rsid w:val="0053483A"/>
    <w:rsid w:val="0055695D"/>
    <w:rsid w:val="00591BA1"/>
    <w:rsid w:val="00592120"/>
    <w:rsid w:val="00595DD4"/>
    <w:rsid w:val="005E099D"/>
    <w:rsid w:val="0063194B"/>
    <w:rsid w:val="00704569"/>
    <w:rsid w:val="00710072"/>
    <w:rsid w:val="0071200E"/>
    <w:rsid w:val="00735C16"/>
    <w:rsid w:val="00745F19"/>
    <w:rsid w:val="007E1DE6"/>
    <w:rsid w:val="00810D6E"/>
    <w:rsid w:val="00833C7D"/>
    <w:rsid w:val="008761C5"/>
    <w:rsid w:val="008C4833"/>
    <w:rsid w:val="008E0024"/>
    <w:rsid w:val="0093362A"/>
    <w:rsid w:val="009705E0"/>
    <w:rsid w:val="009E7702"/>
    <w:rsid w:val="00B1164C"/>
    <w:rsid w:val="00B21917"/>
    <w:rsid w:val="00B42AC0"/>
    <w:rsid w:val="00B575A6"/>
    <w:rsid w:val="00B60FE8"/>
    <w:rsid w:val="00BF6678"/>
    <w:rsid w:val="00C2589B"/>
    <w:rsid w:val="00C62C8A"/>
    <w:rsid w:val="00CA3C14"/>
    <w:rsid w:val="00CE72A8"/>
    <w:rsid w:val="00D0341B"/>
    <w:rsid w:val="00D461F2"/>
    <w:rsid w:val="00D46844"/>
    <w:rsid w:val="00D5279C"/>
    <w:rsid w:val="00D94F75"/>
    <w:rsid w:val="00DA6A24"/>
    <w:rsid w:val="00E3190F"/>
    <w:rsid w:val="00E827D2"/>
    <w:rsid w:val="00E946F0"/>
    <w:rsid w:val="00EC0A85"/>
    <w:rsid w:val="00EC0C8F"/>
    <w:rsid w:val="00EE3355"/>
    <w:rsid w:val="00F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7D6DF"/>
  <w15:chartTrackingRefBased/>
  <w15:docId w15:val="{9EA264B0-73FE-418B-8633-6A79011E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62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6276"/>
    <w:rPr>
      <w:sz w:val="24"/>
      <w:szCs w:val="24"/>
    </w:rPr>
  </w:style>
  <w:style w:type="character" w:styleId="Hyperlink">
    <w:name w:val="Hyperlink"/>
    <w:uiPriority w:val="99"/>
    <w:unhideWhenUsed/>
    <w:rsid w:val="009E770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E7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PO@SchoolPr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pro.uk/2022/03/subject-access-requests-our-guidance-for-schools-colleges-trust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ico.org.uk/for-organisations/guide-to-data-protection/guide-to-the-general-data-protection-regulation-gdpr/right-of-access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rai\OneDrive\SchoolPro%20Docs\Admin\Letter%20-%20SAR%20Initial%20Respo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TaxCatchAll xmlns="617caeb7-04a7-40ce-9c0a-6dbb8b1c6386" xsi:nil="true"/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8818F-789A-414B-AB63-8E52B0D020B5}">
  <ds:schemaRefs>
    <ds:schemaRef ds:uri="http://schemas.microsoft.com/office/2006/metadata/properties"/>
    <ds:schemaRef ds:uri="http://schemas.microsoft.com/office/infopath/2007/PartnerControls"/>
    <ds:schemaRef ds:uri="a6bc1c8d-a4ed-434b-8b00-2d90e2bc61d2"/>
    <ds:schemaRef ds:uri="1b39611f-c77f-4d05-a1cf-36f04a29a7eb"/>
  </ds:schemaRefs>
</ds:datastoreItem>
</file>

<file path=customXml/itemProps2.xml><?xml version="1.0" encoding="utf-8"?>
<ds:datastoreItem xmlns:ds="http://schemas.openxmlformats.org/officeDocument/2006/customXml" ds:itemID="{96E98088-A4DB-45FF-AC50-BCC21D489100}"/>
</file>

<file path=customXml/itemProps3.xml><?xml version="1.0" encoding="utf-8"?>
<ds:datastoreItem xmlns:ds="http://schemas.openxmlformats.org/officeDocument/2006/customXml" ds:itemID="{26151027-6E46-492F-B117-79EC7370B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- SAR Initial Response</Template>
  <TotalTime>101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letter</vt:lpstr>
    </vt:vector>
  </TitlesOfParts>
  <Company> 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letter</dc:title>
  <dc:subject/>
  <dc:creator>Ben Craig</dc:creator>
  <cp:keywords/>
  <dc:description/>
  <cp:lastModifiedBy>Rob Jones (Central)</cp:lastModifiedBy>
  <cp:revision>48</cp:revision>
  <cp:lastPrinted>2006-11-30T11:32:00Z</cp:lastPrinted>
  <dcterms:created xsi:type="dcterms:W3CDTF">2021-03-26T15:21:00Z</dcterms:created>
  <dcterms:modified xsi:type="dcterms:W3CDTF">2024-04-22T08:52:00Z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</Properties>
</file>